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66BBD5C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</w:t>
      </w:r>
      <w:r w:rsidR="004C16DC">
        <w:rPr>
          <w:rFonts w:ascii="Times New Roman" w:hAnsi="Times New Roman" w:cs="Times New Roman"/>
          <w:b/>
          <w:sz w:val="28"/>
        </w:rPr>
        <w:t>4</w:t>
      </w:r>
      <w:r w:rsidR="0033093F">
        <w:rPr>
          <w:rFonts w:ascii="Times New Roman" w:hAnsi="Times New Roman" w:cs="Times New Roman"/>
          <w:b/>
          <w:sz w:val="28"/>
        </w:rPr>
        <w:t>85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4798746D" w14:textId="77777777" w:rsidR="0033093F" w:rsidRPr="0033093F" w:rsidRDefault="0033093F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3093F">
        <w:rPr>
          <w:rFonts w:ascii="Times New Roman" w:hAnsi="Times New Roman" w:cs="Times New Roman"/>
          <w:sz w:val="28"/>
        </w:rPr>
        <w:t>- части площадью 37 кв. м земельного участка с кадастровым            номером 36:34:0203012:41 площадью 14819 кв. м, вид разрешенного использования – многоквартирный многоэтажный дом, расположенного по адресу: г. Воронеж, б-р Победы, 49;</w:t>
      </w:r>
    </w:p>
    <w:p w14:paraId="6EF44F26" w14:textId="3EB753BD" w:rsidR="00531AFF" w:rsidRDefault="0033093F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3093F">
        <w:rPr>
          <w:rFonts w:ascii="Times New Roman" w:hAnsi="Times New Roman" w:cs="Times New Roman"/>
          <w:sz w:val="28"/>
        </w:rPr>
        <w:t>- части площадью 3 кв. м земельного участка с кадастровым              номером 36:34:0203012:33 площадью 1321 кв. м, вид разрешенного использования – для проектирования и строительства жилого дома со встроенными нежилыми помещениями и гаражами, расположенного по адресу: г. Воронеж, ул. Антонова-Овсеенко, 25а</w:t>
      </w:r>
      <w:bookmarkStart w:id="0" w:name="_GoBack"/>
      <w:bookmarkEnd w:id="0"/>
      <w:r w:rsidR="00C638C1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37</cp:revision>
  <cp:lastPrinted>2023-09-11T09:44:00Z</cp:lastPrinted>
  <dcterms:created xsi:type="dcterms:W3CDTF">2023-12-13T10:16:00Z</dcterms:created>
  <dcterms:modified xsi:type="dcterms:W3CDTF">2026-04-02T07:56:00Z</dcterms:modified>
</cp:coreProperties>
</file>